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3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13"/>
        <w:gridCol w:w="1278"/>
        <w:gridCol w:w="29"/>
        <w:gridCol w:w="3331"/>
        <w:gridCol w:w="3544"/>
        <w:gridCol w:w="8"/>
      </w:tblGrid>
      <w:tr w:rsidR="00586461" w:rsidRPr="00CD25D4" w14:paraId="4319D6B4" w14:textId="77777777" w:rsidTr="00F16918">
        <w:trPr>
          <w:trHeight w:val="1622"/>
        </w:trPr>
        <w:tc>
          <w:tcPr>
            <w:tcW w:w="269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12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0DD412C" w14:textId="69FB9935" w:rsidR="00586461" w:rsidRPr="00CD25D4" w:rsidRDefault="00355702" w:rsidP="000F3349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Referat</w:t>
            </w:r>
            <w:r w:rsidR="00586461">
              <w:rPr>
                <w:rFonts w:cs="Arial"/>
                <w:sz w:val="28"/>
                <w:szCs w:val="32"/>
              </w:rPr>
              <w:t xml:space="preserve"> til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E45106">
              <w:rPr>
                <w:rFonts w:cs="Arial"/>
                <w:sz w:val="28"/>
                <w:szCs w:val="32"/>
              </w:rPr>
              <w:t>ASU-</w:t>
            </w:r>
            <w:r w:rsidR="00586461">
              <w:rPr>
                <w:rFonts w:cs="Arial"/>
                <w:sz w:val="28"/>
                <w:szCs w:val="32"/>
              </w:rPr>
              <w:t xml:space="preserve">møte </w:t>
            </w:r>
            <w:proofErr w:type="spellStart"/>
            <w:r w:rsidR="00586461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586461">
              <w:rPr>
                <w:rFonts w:cs="Arial"/>
                <w:sz w:val="28"/>
                <w:szCs w:val="32"/>
              </w:rPr>
              <w:t xml:space="preserve">: </w:t>
            </w:r>
            <w:r w:rsidR="00586461" w:rsidRPr="00CD25D4">
              <w:rPr>
                <w:rFonts w:cs="Arial"/>
                <w:sz w:val="28"/>
                <w:szCs w:val="32"/>
              </w:rPr>
              <w:t>- 201</w:t>
            </w:r>
            <w:r w:rsidR="00586461">
              <w:rPr>
                <w:rFonts w:cs="Arial"/>
                <w:sz w:val="28"/>
                <w:szCs w:val="32"/>
              </w:rPr>
              <w:t>9</w:t>
            </w:r>
            <w:r w:rsidR="00586461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586461" w:rsidRPr="00CD25D4" w14:paraId="73F077DA" w14:textId="77777777" w:rsidTr="00F16918">
        <w:trPr>
          <w:gridAfter w:val="1"/>
          <w:wAfter w:w="8" w:type="dxa"/>
          <w:trHeight w:val="376"/>
        </w:trPr>
        <w:tc>
          <w:tcPr>
            <w:tcW w:w="27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74E8FEB1" w:rsidR="00586461" w:rsidRPr="00CD25D4" w:rsidRDefault="00F16918" w:rsidP="000F3349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05.02.2020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297FB906" w:rsidR="00586461" w:rsidRPr="00CD25D4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F16918">
              <w:rPr>
                <w:rFonts w:ascii="Arial" w:hAnsi="Arial" w:cs="Arial"/>
                <w:sz w:val="22"/>
              </w:rPr>
              <w:t>SKYPE</w:t>
            </w:r>
          </w:p>
        </w:tc>
      </w:tr>
      <w:tr w:rsidR="00586461" w:rsidRPr="00FE0D25" w14:paraId="12A52646" w14:textId="77777777" w:rsidTr="00F16918">
        <w:trPr>
          <w:trHeight w:val="18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2D084" w14:textId="77777777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17764E91" w14:textId="77777777" w:rsidR="00586461" w:rsidRPr="00CD25D4" w:rsidRDefault="00586461" w:rsidP="000F3349">
            <w:pPr>
              <w:pStyle w:val="Brdtekstpaaflgende"/>
              <w:rPr>
                <w:sz w:val="22"/>
              </w:rPr>
            </w:pPr>
          </w:p>
          <w:p w14:paraId="30B0D8D5" w14:textId="77777777" w:rsidR="00586461" w:rsidRPr="00CD25D4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D8C0AC4" w14:textId="77777777" w:rsidR="00B13DDB" w:rsidRPr="00CD25D4" w:rsidRDefault="00B13DDB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77777777" w:rsidR="00586461" w:rsidRPr="00CD25D4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561" w14:textId="2CA3C9FA" w:rsidR="00586461" w:rsidRPr="005407CD" w:rsidRDefault="00F16918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ASU + styrets sekretær</w:t>
            </w:r>
          </w:p>
          <w:p w14:paraId="2288561C" w14:textId="77777777" w:rsidR="00914EF3" w:rsidRDefault="00914EF3" w:rsidP="000F3349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</w:p>
          <w:p w14:paraId="19BD5437" w14:textId="77777777" w:rsidR="00F16918" w:rsidRDefault="00F16918" w:rsidP="000F3349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Landskaug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, Hilde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Hauge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Torill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Adde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Øivind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Storfjeld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og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 xml:space="preserve"> Line S Kristiansen</w:t>
            </w:r>
          </w:p>
          <w:p w14:paraId="0F54898A" w14:textId="77777777" w:rsidR="00F16918" w:rsidRDefault="00F16918" w:rsidP="000F3349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</w:p>
          <w:p w14:paraId="3B1AEA8E" w14:textId="710BBD1B" w:rsidR="00F16918" w:rsidRPr="00586461" w:rsidRDefault="00F16918" w:rsidP="000F3349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2"/>
                <w:lang w:val="en-US"/>
              </w:rPr>
              <w:t>Skjæran</w:t>
            </w:r>
            <w:proofErr w:type="spellEnd"/>
          </w:p>
        </w:tc>
      </w:tr>
    </w:tbl>
    <w:p w14:paraId="64BA195A" w14:textId="77777777" w:rsidR="00B2126D" w:rsidRDefault="00B2126D">
      <w:pPr>
        <w:rPr>
          <w:lang w:val="en-US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2"/>
        <w:gridCol w:w="6867"/>
        <w:gridCol w:w="1441"/>
      </w:tblGrid>
      <w:tr w:rsidR="00586461" w:rsidRPr="00586461" w14:paraId="6685BB5C" w14:textId="77777777" w:rsidTr="00586461">
        <w:tc>
          <w:tcPr>
            <w:tcW w:w="1418" w:type="dxa"/>
          </w:tcPr>
          <w:p w14:paraId="526B8E4D" w14:textId="77777777" w:rsidR="00586461" w:rsidRP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nr</w:t>
            </w:r>
            <w:proofErr w:type="spellEnd"/>
          </w:p>
        </w:tc>
        <w:tc>
          <w:tcPr>
            <w:tcW w:w="7229" w:type="dxa"/>
          </w:tcPr>
          <w:p w14:paraId="033EFC70" w14:textId="77777777" w:rsidR="00586461" w:rsidRP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Innhold</w:t>
            </w:r>
            <w:proofErr w:type="spellEnd"/>
          </w:p>
        </w:tc>
        <w:tc>
          <w:tcPr>
            <w:tcW w:w="993" w:type="dxa"/>
          </w:tcPr>
          <w:p w14:paraId="22670DB6" w14:textId="77777777" w:rsidR="00586461" w:rsidRP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Ansvarlig</w:t>
            </w:r>
          </w:p>
        </w:tc>
      </w:tr>
      <w:tr w:rsidR="00586461" w:rsidRPr="00586461" w14:paraId="795CE136" w14:textId="77777777" w:rsidTr="00586461">
        <w:tc>
          <w:tcPr>
            <w:tcW w:w="1418" w:type="dxa"/>
          </w:tcPr>
          <w:p w14:paraId="3371AAC3" w14:textId="0CF3650F" w:rsidR="00586461" w:rsidRPr="00586461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229" w:type="dxa"/>
          </w:tcPr>
          <w:p w14:paraId="61E58856" w14:textId="77777777" w:rsidR="00586461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HELGA 20. – 22. MARS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Scandic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Stavanger Airport</w:t>
            </w:r>
          </w:p>
          <w:p w14:paraId="33171328" w14:textId="2ABA80B0" w:rsidR="00F16918" w:rsidRDefault="00F16918" w:rsidP="00F1691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Fellesmøte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styret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ASU m/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middag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fredag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20.03. kl 18:00</w:t>
            </w:r>
          </w:p>
          <w:p w14:paraId="1A3B36F4" w14:textId="57876FA2" w:rsidR="00F16918" w:rsidRDefault="00F16918" w:rsidP="00F1691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21.03. Program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fastsatt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inkl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foredrag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Ernst Otto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Ropstad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øyelysning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Raseseminaret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skjer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ASU</w:t>
            </w:r>
          </w:p>
          <w:p w14:paraId="4B2B2C0B" w14:textId="77777777" w:rsidR="00F16918" w:rsidRDefault="00F16918" w:rsidP="00F1691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Generalforsamling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22.03.</w:t>
            </w:r>
          </w:p>
          <w:p w14:paraId="2AB0DBB9" w14:textId="2694501E" w:rsidR="00F16918" w:rsidRPr="00F16918" w:rsidRDefault="00F16918" w:rsidP="00F16918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D2582E" w14:textId="77777777" w:rsid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85EF74" w14:textId="77777777" w:rsidR="00F16918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Alle</w:t>
            </w:r>
            <w:proofErr w:type="spellEnd"/>
          </w:p>
          <w:p w14:paraId="7A7CCFE7" w14:textId="77777777" w:rsidR="00F16918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2140B9F8" w14:textId="77777777" w:rsidR="00F16918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DEA1CBA" w14:textId="4CBFF091" w:rsidR="00F16918" w:rsidRPr="00586461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86461" w:rsidRPr="00586461" w14:paraId="38796F69" w14:textId="77777777" w:rsidTr="00586461">
        <w:tc>
          <w:tcPr>
            <w:tcW w:w="1418" w:type="dxa"/>
          </w:tcPr>
          <w:p w14:paraId="7B38C60E" w14:textId="524590BD" w:rsidR="00586461" w:rsidRPr="00586461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229" w:type="dxa"/>
          </w:tcPr>
          <w:p w14:paraId="7C372D64" w14:textId="77777777" w:rsidR="00586461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GRUNNREGLER FOR RASENE MÅ ENDRES</w:t>
            </w:r>
          </w:p>
          <w:p w14:paraId="770ADCDD" w14:textId="5FAFCEA8" w:rsidR="00F16918" w:rsidRDefault="00F169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handler om “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godkjenning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grunnreglene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bør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være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likelydende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tekst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erstatter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raser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Torill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hadde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bra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forslag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sendes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over </w:t>
            </w:r>
            <w:proofErr w:type="spellStart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 w:rsidR="002239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2239F6" w:rsidRPr="00C770B4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asu@nsbk.no</w:t>
              </w:r>
            </w:hyperlink>
          </w:p>
          <w:p w14:paraId="574C83E6" w14:textId="242A690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ØVRIG: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over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foretas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endringer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grunnregler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oppdrettere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gjeldende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om å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innspill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4C130796" w14:textId="0B578841" w:rsidR="002239F6" w:rsidRPr="00586461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12EF32" w14:textId="77777777" w:rsid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4A10CCD" w14:textId="77777777" w:rsidR="002239F6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0A0BFA74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Adde</w:t>
            </w:r>
            <w:proofErr w:type="spellEnd"/>
          </w:p>
          <w:p w14:paraId="0893DD81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BA55B88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16F31E" w14:textId="01B536B1" w:rsidR="000A3155" w:rsidRPr="00586461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</w:tc>
      </w:tr>
      <w:tr w:rsidR="00586461" w:rsidRPr="00586461" w14:paraId="05C62213" w14:textId="77777777" w:rsidTr="00586461">
        <w:tc>
          <w:tcPr>
            <w:tcW w:w="1418" w:type="dxa"/>
          </w:tcPr>
          <w:p w14:paraId="25B3DAC0" w14:textId="7697E975" w:rsidR="00586461" w:rsidRPr="00586461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229" w:type="dxa"/>
          </w:tcPr>
          <w:p w14:paraId="191E8065" w14:textId="77777777" w:rsidR="002239F6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RAS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revideres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01.10.2020</w:t>
            </w:r>
          </w:p>
          <w:p w14:paraId="41E6350D" w14:textId="77777777" w:rsidR="002239F6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lagt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deltakerne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raseseminaret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deles inn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grupper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lunsj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jobber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synspunkt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RAS.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Deltakere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svært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delta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grupper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ønskelig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0474AB7" w14:textId="05A2BAB0" w:rsidR="002239F6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lese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RAS-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dokument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vi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forberedt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raseseminaret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7FDBB5C9" w14:textId="0010C537" w:rsidR="002239F6" w:rsidRPr="00586461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E6A88FA" w14:textId="77777777" w:rsid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815A8EC" w14:textId="77777777" w:rsidR="002239F6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AD9EF82" w14:textId="707F1CA8" w:rsidR="002239F6" w:rsidRPr="0058646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</w:tc>
      </w:tr>
      <w:tr w:rsidR="00586461" w:rsidRPr="00586461" w14:paraId="21968E0F" w14:textId="77777777" w:rsidTr="00586461">
        <w:tc>
          <w:tcPr>
            <w:tcW w:w="1418" w:type="dxa"/>
          </w:tcPr>
          <w:p w14:paraId="1D15F032" w14:textId="3A0A100B" w:rsidR="00586461" w:rsidRPr="00586461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229" w:type="dxa"/>
          </w:tcPr>
          <w:p w14:paraId="2E03B269" w14:textId="77777777" w:rsidR="00586461" w:rsidRDefault="002239F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STATUS ASU / INNMELDING AV KULL OG SKJEMA</w:t>
            </w:r>
          </w:p>
          <w:p w14:paraId="36CC7F94" w14:textId="77777777" w:rsidR="002239F6" w:rsidRDefault="006A0509" w:rsidP="006A050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forenklet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skjema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utarbeidet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Her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oppdretteropplysninger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rasespesifikke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anbefalinger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2131FDB4" w14:textId="18E2FE8F" w:rsidR="006A0509" w:rsidRDefault="006A0509" w:rsidP="006A050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behov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endringer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31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0A31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dag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vanskelig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å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finne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nødvendige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opplysninger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feks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grunnregler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Behov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å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endre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under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fanen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oppdrett</w:t>
            </w:r>
            <w:proofErr w:type="spellEnd"/>
            <w:r w:rsidR="00066A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”.</w:t>
            </w:r>
          </w:p>
          <w:p w14:paraId="79BD499E" w14:textId="28B9E18E" w:rsidR="00066A21" w:rsidRDefault="00066A21" w:rsidP="006A050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valpelisten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gjøres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ferdig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over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05.02.2020</w:t>
            </w:r>
          </w:p>
          <w:p w14:paraId="5C23C58A" w14:textId="629FC696" w:rsidR="00066A21" w:rsidRDefault="00066A21" w:rsidP="006A050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Møtet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ryddes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plassering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men layout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ok. Av log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oppdrett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prioriteres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spesielt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valpelisten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269243AF" w14:textId="1E46CFDF" w:rsidR="00066A21" w:rsidRDefault="00066A21" w:rsidP="006A0509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Oppklaring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ASU’s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gjelder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regelverk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dag.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Møtet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om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avklart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6DAC77F7" w14:textId="1B1051EE" w:rsidR="00066A21" w:rsidRPr="006A0509" w:rsidRDefault="00066A21" w:rsidP="00066A21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DAC3528" w14:textId="77777777" w:rsid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7FFA0C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96BF1F5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1D2E3958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915476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WEBMASTER</w:t>
            </w:r>
          </w:p>
          <w:p w14:paraId="2A6220A4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8AEB07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7F3913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ØS</w:t>
            </w:r>
          </w:p>
          <w:p w14:paraId="0101D4A6" w14:textId="77777777" w:rsidR="00066A2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833BB7" w14:textId="21AF4B45" w:rsidR="00066A21" w:rsidRPr="00586461" w:rsidRDefault="00066A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STYRET/WEB-MASTER/ASU</w:t>
            </w:r>
          </w:p>
        </w:tc>
      </w:tr>
      <w:tr w:rsidR="00586461" w:rsidRPr="00586461" w14:paraId="21597F4B" w14:textId="77777777" w:rsidTr="00586461">
        <w:tc>
          <w:tcPr>
            <w:tcW w:w="1418" w:type="dxa"/>
          </w:tcPr>
          <w:p w14:paraId="27D4A03B" w14:textId="1FFFE651" w:rsidR="00586461" w:rsidRPr="00586461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229" w:type="dxa"/>
          </w:tcPr>
          <w:p w14:paraId="1A3EF086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EVENTUELT</w:t>
            </w:r>
          </w:p>
          <w:p w14:paraId="4240FCBA" w14:textId="77777777" w:rsidR="000A3155" w:rsidRDefault="000A3155" w:rsidP="000A315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E-post NKK/STYRET 13.01.2020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NKK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kjøpehund.no”</w:t>
            </w:r>
          </w:p>
          <w:p w14:paraId="1EF8CAFF" w14:textId="0ECC0FD1" w:rsidR="000A3155" w:rsidRDefault="000A3155" w:rsidP="000A3155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om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spørsmål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vurderes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nærmere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før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 sender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innspill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NKK/kjøpehund.no.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bør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foretas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kvalitetssikring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kjente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DNA-tester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før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profilers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bør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samtidig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sjekkes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med NKK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hvilke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laboratorier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godkjennes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før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DogWeb</w:t>
            </w:r>
            <w:proofErr w:type="spellEnd"/>
          </w:p>
          <w:p w14:paraId="745B3489" w14:textId="7E192389" w:rsidR="000A3155" w:rsidRDefault="000A1C5E" w:rsidP="000A1C5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Passord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tidligere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Avlsråd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rasekomiteer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over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C770B4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asu@nsbk.no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Her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historikk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documenter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A1BDF00" w14:textId="4A4F9040" w:rsidR="000A1C5E" w:rsidRDefault="000A1C5E" w:rsidP="000A1C5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fått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tilgang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DogWeb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raserepresentant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</w:p>
          <w:p w14:paraId="695DD3E5" w14:textId="5DB8095B" w:rsidR="000A1C5E" w:rsidRDefault="000A1C5E" w:rsidP="000A1C5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Årsrapporter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2019.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tidligere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vært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medlemmer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Avlsrådet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langt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ferdige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Riesenschnauzer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/schnauzer: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naturlig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ASU-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representanter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skriver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da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skjedd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2019.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Fortsatt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litt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uklart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dvergvarianter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men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visstnok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under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kontroll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784BCFFB" w14:textId="2C633926" w:rsidR="000A1C5E" w:rsidRPr="000A1C5E" w:rsidRDefault="000A1C5E" w:rsidP="000A1C5E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Ref.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styreprotokoll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bekymringsmelding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naturlig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ASU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involvert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slike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opplysninger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generelt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også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taushetsplikt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Når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gjelder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involverte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medlemmer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klubben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sånn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sett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ilegges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sansksjoner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virker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også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akkurat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dette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engangsforeteelse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”. </w:t>
            </w:r>
          </w:p>
          <w:p w14:paraId="339C5094" w14:textId="77777777" w:rsidR="000A3155" w:rsidRDefault="000A3155" w:rsidP="000A3155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13B58D" w14:textId="477376AB" w:rsidR="000A3155" w:rsidRPr="000A3155" w:rsidRDefault="000A3155" w:rsidP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25E13D3" w14:textId="77777777" w:rsidR="00586461" w:rsidRDefault="005864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B184C6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293F5C66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C87EEE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BA7468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10B50A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943F24" w14:textId="77777777" w:rsidR="000A3155" w:rsidRDefault="000A315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Adde</w:t>
            </w:r>
            <w:proofErr w:type="spellEnd"/>
          </w:p>
          <w:p w14:paraId="257547D1" w14:textId="77777777" w:rsidR="000A1C5E" w:rsidRDefault="000A1C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474E33" w14:textId="77777777" w:rsidR="000A1C5E" w:rsidRDefault="000A1C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50D8F2" w14:textId="77777777" w:rsidR="000A1C5E" w:rsidRDefault="000A1C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7B9F8258" w14:textId="77777777" w:rsidR="000A1C5E" w:rsidRDefault="000A1C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E48550F" w14:textId="77777777" w:rsidR="000A1C5E" w:rsidRDefault="000A1C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ASU</w:t>
            </w:r>
          </w:p>
          <w:p w14:paraId="17F40D53" w14:textId="77777777" w:rsidR="001701FC" w:rsidRDefault="001701F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628ABF4" w14:textId="31586048" w:rsidR="001701FC" w:rsidRPr="00586461" w:rsidRDefault="001701F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</w:tr>
    </w:tbl>
    <w:p w14:paraId="017516F3" w14:textId="788A7FF1" w:rsidR="00586461" w:rsidRPr="00586461" w:rsidRDefault="0058646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86461" w:rsidRPr="0058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96D58"/>
    <w:multiLevelType w:val="hybridMultilevel"/>
    <w:tmpl w:val="B1605B10"/>
    <w:lvl w:ilvl="0" w:tplc="5B9CEE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066A21"/>
    <w:rsid w:val="000A1C5E"/>
    <w:rsid w:val="000A3155"/>
    <w:rsid w:val="001701FC"/>
    <w:rsid w:val="002239F6"/>
    <w:rsid w:val="002F5EAC"/>
    <w:rsid w:val="00301F80"/>
    <w:rsid w:val="00355702"/>
    <w:rsid w:val="00586461"/>
    <w:rsid w:val="006A0509"/>
    <w:rsid w:val="006F4ABA"/>
    <w:rsid w:val="00732A0C"/>
    <w:rsid w:val="00914EF3"/>
    <w:rsid w:val="00B13DDB"/>
    <w:rsid w:val="00B2126D"/>
    <w:rsid w:val="00D338B0"/>
    <w:rsid w:val="00E45106"/>
    <w:rsid w:val="00F16918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691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3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u@nsb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@nsb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Børge Pettersen</cp:lastModifiedBy>
  <cp:revision>2</cp:revision>
  <dcterms:created xsi:type="dcterms:W3CDTF">2020-02-05T23:10:00Z</dcterms:created>
  <dcterms:modified xsi:type="dcterms:W3CDTF">2020-02-05T23:10:00Z</dcterms:modified>
</cp:coreProperties>
</file>